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4F887" w14:textId="2F5A5BC4" w:rsidR="00DF6B03" w:rsidRDefault="00DF6B03">
      <w:pPr>
        <w:rPr>
          <w:lang w:val="sl-SI"/>
        </w:rPr>
      </w:pPr>
      <w:r>
        <w:rPr>
          <w:noProof/>
          <w:lang w:val="sl-SI"/>
        </w:rPr>
        <w:drawing>
          <wp:anchor distT="0" distB="0" distL="114300" distR="114300" simplePos="0" relativeHeight="251660288" behindDoc="0" locked="0" layoutInCell="1" allowOverlap="1" wp14:anchorId="7B6FC65D" wp14:editId="3822EDFC">
            <wp:simplePos x="0" y="0"/>
            <wp:positionH relativeFrom="margin">
              <wp:posOffset>4248785</wp:posOffset>
            </wp:positionH>
            <wp:positionV relativeFrom="margin">
              <wp:posOffset>-497840</wp:posOffset>
            </wp:positionV>
            <wp:extent cx="1694180" cy="1414145"/>
            <wp:effectExtent l="0" t="0" r="0" b="0"/>
            <wp:wrapSquare wrapText="bothSides"/>
            <wp:docPr id="14509173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917351" name="Picture 145091735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94180" cy="1414145"/>
                    </a:xfrm>
                    <a:prstGeom prst="rect">
                      <a:avLst/>
                    </a:prstGeom>
                  </pic:spPr>
                </pic:pic>
              </a:graphicData>
            </a:graphic>
            <wp14:sizeRelH relativeFrom="margin">
              <wp14:pctWidth>0</wp14:pctWidth>
            </wp14:sizeRelH>
            <wp14:sizeRelV relativeFrom="margin">
              <wp14:pctHeight>0</wp14:pctHeight>
            </wp14:sizeRelV>
          </wp:anchor>
        </w:drawing>
      </w:r>
      <w:r>
        <w:rPr>
          <w:noProof/>
          <w:lang w:val="sl-SI"/>
        </w:rPr>
        <w:drawing>
          <wp:anchor distT="0" distB="0" distL="114300" distR="114300" simplePos="0" relativeHeight="251659264" behindDoc="0" locked="0" layoutInCell="1" allowOverlap="1" wp14:anchorId="1F5F3C6E" wp14:editId="2C10C940">
            <wp:simplePos x="0" y="0"/>
            <wp:positionH relativeFrom="margin">
              <wp:posOffset>1913890</wp:posOffset>
            </wp:positionH>
            <wp:positionV relativeFrom="margin">
              <wp:posOffset>133858</wp:posOffset>
            </wp:positionV>
            <wp:extent cx="2176145" cy="331470"/>
            <wp:effectExtent l="0" t="0" r="0" b="0"/>
            <wp:wrapSquare wrapText="bothSides"/>
            <wp:docPr id="11657633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6145" cy="331470"/>
                    </a:xfrm>
                    <a:prstGeom prst="rect">
                      <a:avLst/>
                    </a:prstGeom>
                    <a:noFill/>
                  </pic:spPr>
                </pic:pic>
              </a:graphicData>
            </a:graphic>
          </wp:anchor>
        </w:drawing>
      </w:r>
      <w:r w:rsidRPr="00DF6B03">
        <w:rPr>
          <w:rFonts w:ascii="Aptos" w:eastAsia="Aptos" w:hAnsi="Aptos" w:cs="Arial"/>
          <w:noProof/>
          <w:sz w:val="24"/>
          <w:szCs w:val="24"/>
        </w:rPr>
        <w:drawing>
          <wp:anchor distT="0" distB="0" distL="114300" distR="114300" simplePos="0" relativeHeight="251658240" behindDoc="0" locked="0" layoutInCell="1" allowOverlap="1" wp14:anchorId="139B07C1" wp14:editId="5F9FBDAA">
            <wp:simplePos x="0" y="0"/>
            <wp:positionH relativeFrom="margin">
              <wp:posOffset>-14224</wp:posOffset>
            </wp:positionH>
            <wp:positionV relativeFrom="margin">
              <wp:posOffset>85090</wp:posOffset>
            </wp:positionV>
            <wp:extent cx="1744980" cy="476885"/>
            <wp:effectExtent l="0" t="0" r="7620" b="0"/>
            <wp:wrapSquare wrapText="bothSides"/>
            <wp:docPr id="174638982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268289" name="Picture 1" descr="A black text on a white background&#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744980" cy="476885"/>
                    </a:xfrm>
                    <a:prstGeom prst="rect">
                      <a:avLst/>
                    </a:prstGeom>
                  </pic:spPr>
                </pic:pic>
              </a:graphicData>
            </a:graphic>
          </wp:anchor>
        </w:drawing>
      </w:r>
    </w:p>
    <w:p w14:paraId="0C7F6DF4" w14:textId="77777777" w:rsidR="003E2BAD" w:rsidRPr="003E2BAD" w:rsidRDefault="003E2BAD" w:rsidP="003E2BAD">
      <w:pPr>
        <w:spacing w:after="0" w:line="240" w:lineRule="auto"/>
        <w:rPr>
          <w:lang w:val="en-GB"/>
        </w:rPr>
      </w:pPr>
      <w:r w:rsidRPr="003E2BAD">
        <w:rPr>
          <w:lang w:val="en-GB"/>
        </w:rPr>
        <w:t>Press Release</w:t>
      </w:r>
    </w:p>
    <w:p w14:paraId="0FA9E057" w14:textId="77777777" w:rsidR="003E2BAD" w:rsidRPr="003E2BAD" w:rsidRDefault="003E2BAD" w:rsidP="003E2BAD">
      <w:pPr>
        <w:spacing w:after="0" w:line="240" w:lineRule="auto"/>
        <w:rPr>
          <w:lang w:val="en-GB"/>
        </w:rPr>
      </w:pPr>
      <w:r w:rsidRPr="003E2BAD">
        <w:rPr>
          <w:lang w:val="en-GB"/>
        </w:rPr>
        <w:t>Future 500 – Champions of Growth 2026 Conference</w:t>
      </w:r>
    </w:p>
    <w:p w14:paraId="4671F4FB" w14:textId="62F731B2" w:rsidR="003E2BAD" w:rsidRDefault="003E2BAD" w:rsidP="003E2BAD">
      <w:pPr>
        <w:spacing w:after="0" w:line="240" w:lineRule="auto"/>
        <w:rPr>
          <w:lang w:val="en-GB"/>
        </w:rPr>
      </w:pPr>
      <w:r w:rsidRPr="003E2BAD">
        <w:rPr>
          <w:lang w:val="en-GB"/>
        </w:rPr>
        <w:t>Brussels</w:t>
      </w:r>
    </w:p>
    <w:p w14:paraId="189C8DCC" w14:textId="77777777" w:rsidR="008D1B30" w:rsidRPr="003E2BAD" w:rsidRDefault="008D1B30" w:rsidP="003E2BAD">
      <w:pPr>
        <w:spacing w:after="0" w:line="240" w:lineRule="auto"/>
        <w:rPr>
          <w:lang w:val="en-GB"/>
        </w:rPr>
      </w:pPr>
    </w:p>
    <w:p w14:paraId="0C5B2E5C" w14:textId="77777777" w:rsidR="008D1B30" w:rsidRPr="008D1B30" w:rsidRDefault="008D1B30" w:rsidP="008D1B30">
      <w:pPr>
        <w:pStyle w:val="Heading3"/>
        <w:jc w:val="center"/>
        <w:rPr>
          <w:rFonts w:cs="Times New Roman"/>
          <w:b/>
          <w:bCs/>
          <w:color w:val="000000" w:themeColor="text1"/>
          <w:sz w:val="36"/>
          <w:szCs w:val="36"/>
        </w:rPr>
      </w:pPr>
      <w:r w:rsidRPr="008D1B30">
        <w:rPr>
          <w:rFonts w:cs="Times New Roman"/>
          <w:b/>
          <w:bCs/>
          <w:color w:val="000000" w:themeColor="text1"/>
          <w:sz w:val="36"/>
          <w:szCs w:val="36"/>
        </w:rPr>
        <w:t>Turning Potential into Reality: Future 500 Ignites Scale-Up Momentum in Europe</w:t>
      </w:r>
    </w:p>
    <w:p w14:paraId="210E27A9" w14:textId="7396485A" w:rsidR="008D1B30" w:rsidRPr="008D1B30" w:rsidRDefault="008D1B30" w:rsidP="008D1B30">
      <w:pPr>
        <w:pStyle w:val="NormalWeb"/>
        <w:jc w:val="both"/>
        <w:rPr>
          <w:rFonts w:asciiTheme="minorHAnsi" w:hAnsiTheme="minorHAnsi"/>
          <w:sz w:val="22"/>
          <w:szCs w:val="22"/>
        </w:rPr>
      </w:pPr>
      <w:r w:rsidRPr="008D1B30">
        <w:rPr>
          <w:rFonts w:asciiTheme="minorHAnsi" w:hAnsiTheme="minorHAnsi"/>
          <w:sz w:val="22"/>
          <w:szCs w:val="22"/>
        </w:rPr>
        <w:t>Brussels, March 2</w:t>
      </w:r>
      <w:r w:rsidRPr="008D1B30">
        <w:rPr>
          <w:rFonts w:asciiTheme="minorHAnsi" w:hAnsiTheme="minorHAnsi"/>
          <w:sz w:val="22"/>
          <w:szCs w:val="22"/>
          <w:lang w:val="en-GB"/>
        </w:rPr>
        <w:t>5</w:t>
      </w:r>
      <w:r w:rsidRPr="008D1B30">
        <w:rPr>
          <w:rFonts w:asciiTheme="minorHAnsi" w:hAnsiTheme="minorHAnsi"/>
          <w:sz w:val="22"/>
          <w:szCs w:val="22"/>
        </w:rPr>
        <w:t xml:space="preserve">, 2026 – </w:t>
      </w:r>
      <w:hyperlink r:id="rId7" w:history="1">
        <w:r w:rsidRPr="008D1B30">
          <w:rPr>
            <w:rStyle w:val="Hyperlink"/>
            <w:rFonts w:asciiTheme="minorHAnsi" w:hAnsiTheme="minorHAnsi"/>
            <w:sz w:val="22"/>
            <w:szCs w:val="22"/>
          </w:rPr>
          <w:t>The Future 500 – Champions of Growth</w:t>
        </w:r>
      </w:hyperlink>
      <w:r w:rsidRPr="008D1B30">
        <w:rPr>
          <w:rFonts w:asciiTheme="minorHAnsi" w:hAnsiTheme="minorHAnsi"/>
          <w:sz w:val="22"/>
          <w:szCs w:val="22"/>
        </w:rPr>
        <w:t xml:space="preserve"> conference brought together policymakers, investors, entrepreneurs, and scientists in Brussels to address one of Europe’s most pressing questions: how to scale companies and strengthen competitiveness in practical, actionable terms.</w:t>
      </w:r>
    </w:p>
    <w:p w14:paraId="37145221" w14:textId="0F82C798" w:rsidR="008D1B30" w:rsidRPr="008D1B30" w:rsidRDefault="008D1B30" w:rsidP="008D1B30">
      <w:pPr>
        <w:pStyle w:val="NormalWeb"/>
        <w:jc w:val="both"/>
        <w:rPr>
          <w:rFonts w:asciiTheme="minorHAnsi" w:hAnsiTheme="minorHAnsi"/>
          <w:sz w:val="22"/>
          <w:szCs w:val="22"/>
        </w:rPr>
      </w:pPr>
      <w:r w:rsidRPr="008D1B30">
        <w:rPr>
          <w:rFonts w:asciiTheme="minorHAnsi" w:hAnsiTheme="minorHAnsi"/>
          <w:sz w:val="22"/>
          <w:szCs w:val="22"/>
        </w:rPr>
        <w:t xml:space="preserve">Organized by </w:t>
      </w:r>
      <w:hyperlink r:id="rId8" w:history="1">
        <w:r w:rsidRPr="008D1B30">
          <w:rPr>
            <w:rStyle w:val="Hyperlink"/>
            <w:rFonts w:asciiTheme="minorHAnsi" w:hAnsiTheme="minorHAnsi"/>
            <w:sz w:val="22"/>
            <w:szCs w:val="22"/>
          </w:rPr>
          <w:t>IEDC – Bled School of Management</w:t>
        </w:r>
      </w:hyperlink>
      <w:r w:rsidRPr="008D1B30">
        <w:rPr>
          <w:rFonts w:asciiTheme="minorHAnsi" w:hAnsiTheme="minorHAnsi"/>
          <w:sz w:val="22"/>
          <w:szCs w:val="22"/>
        </w:rPr>
        <w:t xml:space="preserve"> and the </w:t>
      </w:r>
      <w:hyperlink r:id="rId9" w:history="1">
        <w:r w:rsidRPr="008D1B30">
          <w:rPr>
            <w:rStyle w:val="Hyperlink"/>
            <w:rFonts w:asciiTheme="minorHAnsi" w:hAnsiTheme="minorHAnsi"/>
            <w:sz w:val="22"/>
            <w:szCs w:val="22"/>
          </w:rPr>
          <w:t>Atlantic Council</w:t>
        </w:r>
      </w:hyperlink>
      <w:r w:rsidRPr="008D1B30">
        <w:rPr>
          <w:rFonts w:asciiTheme="minorHAnsi" w:hAnsiTheme="minorHAnsi"/>
          <w:sz w:val="22"/>
          <w:szCs w:val="22"/>
        </w:rPr>
        <w:t xml:space="preserve">, in partnership with the </w:t>
      </w:r>
      <w:hyperlink r:id="rId10" w:history="1">
        <w:r w:rsidRPr="008D1B30">
          <w:rPr>
            <w:rStyle w:val="Hyperlink"/>
            <w:rFonts w:asciiTheme="minorHAnsi" w:hAnsiTheme="minorHAnsi"/>
            <w:sz w:val="22"/>
            <w:szCs w:val="22"/>
          </w:rPr>
          <w:t>European Economic and Social Committee (EESC)</w:t>
        </w:r>
      </w:hyperlink>
      <w:r w:rsidRPr="008D1B30">
        <w:rPr>
          <w:rFonts w:asciiTheme="minorHAnsi" w:hAnsiTheme="minorHAnsi"/>
          <w:sz w:val="22"/>
          <w:szCs w:val="22"/>
        </w:rPr>
        <w:t>, the conference convened more than 300 participants representing Europe’s capital markets, business sector, public policy, and innovation ecosystems.</w:t>
      </w:r>
    </w:p>
    <w:p w14:paraId="219F8203" w14:textId="7A673D92" w:rsidR="008D1B30" w:rsidRPr="008D1B30" w:rsidRDefault="008D1B30" w:rsidP="008D1B30">
      <w:pPr>
        <w:pStyle w:val="NormalWeb"/>
        <w:jc w:val="both"/>
        <w:rPr>
          <w:rFonts w:asciiTheme="minorHAnsi" w:hAnsiTheme="minorHAnsi"/>
          <w:sz w:val="22"/>
          <w:szCs w:val="22"/>
        </w:rPr>
      </w:pPr>
      <w:r w:rsidRPr="008D1B30">
        <w:rPr>
          <w:rFonts w:asciiTheme="minorHAnsi" w:hAnsiTheme="minorHAnsi"/>
          <w:sz w:val="22"/>
          <w:szCs w:val="22"/>
        </w:rPr>
        <w:t>A clear conclusion emerged from discussions: Europe possesses the essential ingredients</w:t>
      </w:r>
      <w:r>
        <w:rPr>
          <w:rFonts w:asciiTheme="minorHAnsi" w:hAnsiTheme="minorHAnsi"/>
          <w:sz w:val="22"/>
          <w:szCs w:val="22"/>
        </w:rPr>
        <w:t>,</w:t>
      </w:r>
      <w:r w:rsidRPr="008D1B30">
        <w:rPr>
          <w:rFonts w:asciiTheme="minorHAnsi" w:hAnsiTheme="minorHAnsi"/>
          <w:sz w:val="22"/>
          <w:szCs w:val="22"/>
        </w:rPr>
        <w:t xml:space="preserve"> includin</w:t>
      </w:r>
      <w:r>
        <w:rPr>
          <w:rFonts w:asciiTheme="minorHAnsi" w:hAnsiTheme="minorHAnsi"/>
          <w:sz w:val="22"/>
          <w:szCs w:val="22"/>
        </w:rPr>
        <w:t>g</w:t>
      </w:r>
      <w:r w:rsidRPr="008D1B30">
        <w:rPr>
          <w:rFonts w:asciiTheme="minorHAnsi" w:hAnsiTheme="minorHAnsi"/>
          <w:sz w:val="22"/>
          <w:szCs w:val="22"/>
        </w:rPr>
        <w:t xml:space="preserve"> entrepreneurs, scientists, capital, talent, and ideas, but continues to face challenges in focus, coordination, and execution.</w:t>
      </w:r>
    </w:p>
    <w:p w14:paraId="7F4B69EE" w14:textId="77777777" w:rsidR="008D1B30" w:rsidRPr="008D1B30" w:rsidRDefault="008D1B30" w:rsidP="008D1B30">
      <w:pPr>
        <w:pStyle w:val="NormalWeb"/>
        <w:jc w:val="both"/>
        <w:rPr>
          <w:rFonts w:asciiTheme="minorHAnsi" w:hAnsiTheme="minorHAnsi"/>
          <w:sz w:val="22"/>
          <w:szCs w:val="22"/>
        </w:rPr>
      </w:pPr>
      <w:r w:rsidRPr="008D1B30">
        <w:rPr>
          <w:rFonts w:asciiTheme="minorHAnsi" w:hAnsiTheme="minorHAnsi"/>
          <w:sz w:val="22"/>
          <w:szCs w:val="22"/>
        </w:rPr>
        <w:t xml:space="preserve">Opening the conference, </w:t>
      </w:r>
      <w:r w:rsidRPr="008D1B30">
        <w:rPr>
          <w:rFonts w:asciiTheme="minorHAnsi" w:hAnsiTheme="minorHAnsi"/>
          <w:b/>
          <w:bCs/>
          <w:sz w:val="22"/>
          <w:szCs w:val="22"/>
        </w:rPr>
        <w:t>Stjepan Orešković</w:t>
      </w:r>
      <w:r w:rsidRPr="008D1B30">
        <w:rPr>
          <w:rFonts w:asciiTheme="minorHAnsi" w:hAnsiTheme="minorHAnsi"/>
          <w:sz w:val="22"/>
          <w:szCs w:val="22"/>
        </w:rPr>
        <w:t xml:space="preserve">, Founder of Future 500 and </w:t>
      </w:r>
      <w:proofErr w:type="spellStart"/>
      <w:r w:rsidRPr="008D1B30">
        <w:rPr>
          <w:rFonts w:asciiTheme="minorHAnsi" w:hAnsiTheme="minorHAnsi"/>
          <w:sz w:val="22"/>
          <w:szCs w:val="22"/>
        </w:rPr>
        <w:t>Bosqar</w:t>
      </w:r>
      <w:proofErr w:type="spellEnd"/>
      <w:r w:rsidRPr="008D1B30">
        <w:rPr>
          <w:rFonts w:asciiTheme="minorHAnsi" w:hAnsiTheme="minorHAnsi"/>
          <w:sz w:val="22"/>
          <w:szCs w:val="22"/>
        </w:rPr>
        <w:t xml:space="preserve"> Invest, cautioned that Europe risks falling behind if it does not create global champions. Despite its substantial capital and savings, Europe often lacks the decisiveness required to deploy them effectively. He warned that allocating hundreds of billions of euros from competitiveness funds to preserve legacy structures rather than build the future could become Europe’s greatest strategic failure. At the same time, he emphasized that entrepreneurs, scientists, and breakthrough technologies remain the true engines of growth.</w:t>
      </w:r>
    </w:p>
    <w:p w14:paraId="0B2BBC2F" w14:textId="77777777" w:rsidR="008D1B30" w:rsidRPr="008D1B30" w:rsidRDefault="008D1B30" w:rsidP="008D1B30">
      <w:pPr>
        <w:pStyle w:val="NormalWeb"/>
        <w:jc w:val="both"/>
        <w:rPr>
          <w:rFonts w:asciiTheme="minorHAnsi" w:hAnsiTheme="minorHAnsi"/>
          <w:sz w:val="22"/>
          <w:szCs w:val="22"/>
        </w:rPr>
      </w:pPr>
      <w:r w:rsidRPr="008D1B30">
        <w:rPr>
          <w:rFonts w:asciiTheme="minorHAnsi" w:hAnsiTheme="minorHAnsi"/>
          <w:b/>
          <w:bCs/>
          <w:sz w:val="22"/>
          <w:szCs w:val="22"/>
        </w:rPr>
        <w:t>Peter Grk</w:t>
      </w:r>
      <w:r w:rsidRPr="008D1B30">
        <w:rPr>
          <w:rFonts w:asciiTheme="minorHAnsi" w:hAnsiTheme="minorHAnsi"/>
          <w:sz w:val="22"/>
          <w:szCs w:val="22"/>
        </w:rPr>
        <w:t xml:space="preserve">, Secretary General of the Bled Strategic Forum, described Europe as being at a “precarious moment,” while also recognizing a visible shift toward action. </w:t>
      </w:r>
      <w:r w:rsidRPr="008D1B30">
        <w:rPr>
          <w:rFonts w:asciiTheme="minorHAnsi" w:hAnsiTheme="minorHAnsi"/>
          <w:b/>
          <w:bCs/>
          <w:sz w:val="22"/>
          <w:szCs w:val="22"/>
        </w:rPr>
        <w:t>Jörn Fleck</w:t>
      </w:r>
      <w:r w:rsidRPr="008D1B30">
        <w:rPr>
          <w:rFonts w:asciiTheme="minorHAnsi" w:hAnsiTheme="minorHAnsi"/>
          <w:sz w:val="22"/>
          <w:szCs w:val="22"/>
        </w:rPr>
        <w:t xml:space="preserve"> of the Atlantic Council reinforced this message, noting that Europe’s strong fundamentals must now translate into delivery: “It is up to all of us to turn potential into execution.”</w:t>
      </w:r>
    </w:p>
    <w:p w14:paraId="27DF2022" w14:textId="77777777" w:rsidR="008D1B30" w:rsidRPr="008D1B30" w:rsidRDefault="008D1B30" w:rsidP="008D1B30">
      <w:pPr>
        <w:pStyle w:val="NormalWeb"/>
        <w:jc w:val="both"/>
        <w:rPr>
          <w:rFonts w:asciiTheme="minorHAnsi" w:hAnsiTheme="minorHAnsi"/>
          <w:sz w:val="22"/>
          <w:szCs w:val="22"/>
        </w:rPr>
      </w:pPr>
      <w:r w:rsidRPr="008D1B30">
        <w:rPr>
          <w:rFonts w:asciiTheme="minorHAnsi" w:hAnsiTheme="minorHAnsi"/>
          <w:b/>
          <w:bCs/>
          <w:sz w:val="22"/>
          <w:szCs w:val="22"/>
        </w:rPr>
        <w:t>Maria Luís Albuquerque</w:t>
      </w:r>
      <w:r w:rsidRPr="008D1B30">
        <w:rPr>
          <w:rFonts w:asciiTheme="minorHAnsi" w:hAnsiTheme="minorHAnsi"/>
          <w:sz w:val="22"/>
          <w:szCs w:val="22"/>
        </w:rPr>
        <w:t>, European Commissioner for Financial Services, highlighted that Europe’s challenge is not a lack of capital, but a lack of scale. She pointed to the Savings and Investments Union as a critical step toward building deeper and more liquid capital markets across the EU.</w:t>
      </w:r>
    </w:p>
    <w:p w14:paraId="35E06FA6" w14:textId="6A45350B" w:rsidR="008D1B30" w:rsidRPr="008D1B30" w:rsidRDefault="008D1B30" w:rsidP="008D1B30">
      <w:pPr>
        <w:pStyle w:val="NormalWeb"/>
        <w:jc w:val="both"/>
        <w:rPr>
          <w:rFonts w:asciiTheme="minorHAnsi" w:hAnsiTheme="minorHAnsi"/>
          <w:sz w:val="22"/>
          <w:szCs w:val="22"/>
        </w:rPr>
      </w:pPr>
      <w:r w:rsidRPr="008D1B30">
        <w:rPr>
          <w:rFonts w:asciiTheme="minorHAnsi" w:hAnsiTheme="minorHAnsi"/>
          <w:sz w:val="22"/>
          <w:szCs w:val="22"/>
        </w:rPr>
        <w:t xml:space="preserve">Panel discussions explored structural barriers in greater depth. </w:t>
      </w:r>
      <w:r w:rsidRPr="008D1B30">
        <w:rPr>
          <w:rFonts w:asciiTheme="minorHAnsi" w:hAnsiTheme="minorHAnsi"/>
          <w:b/>
          <w:bCs/>
          <w:sz w:val="22"/>
          <w:szCs w:val="22"/>
        </w:rPr>
        <w:t>Peter Bosek</w:t>
      </w:r>
      <w:r w:rsidRPr="008D1B30">
        <w:rPr>
          <w:rFonts w:asciiTheme="minorHAnsi" w:hAnsiTheme="minorHAnsi"/>
          <w:sz w:val="22"/>
          <w:szCs w:val="22"/>
        </w:rPr>
        <w:t xml:space="preserve">, CEO of Erste Group, observed that while retail investor participation is increasing, capital is increasingly flowing through digital platforms rather than long-term investment channels. </w:t>
      </w:r>
      <w:r w:rsidRPr="008D1B30">
        <w:rPr>
          <w:rFonts w:asciiTheme="minorHAnsi" w:hAnsiTheme="minorHAnsi"/>
          <w:b/>
          <w:bCs/>
          <w:sz w:val="22"/>
          <w:szCs w:val="22"/>
        </w:rPr>
        <w:t>Aart de Geus</w:t>
      </w:r>
      <w:r>
        <w:rPr>
          <w:rFonts w:asciiTheme="minorHAnsi" w:hAnsiTheme="minorHAnsi"/>
          <w:sz w:val="22"/>
          <w:szCs w:val="22"/>
        </w:rPr>
        <w:t xml:space="preserve">, </w:t>
      </w:r>
      <w:r w:rsidRPr="008D1B30">
        <w:rPr>
          <w:rFonts w:asciiTheme="minorHAnsi" w:hAnsiTheme="minorHAnsi"/>
          <w:sz w:val="22"/>
          <w:szCs w:val="22"/>
        </w:rPr>
        <w:t>ABP</w:t>
      </w:r>
      <w:r w:rsidR="00EA6F41">
        <w:rPr>
          <w:rFonts w:asciiTheme="minorHAnsi" w:hAnsiTheme="minorHAnsi"/>
          <w:sz w:val="22"/>
          <w:szCs w:val="22"/>
        </w:rPr>
        <w:t>,</w:t>
      </w:r>
      <w:r w:rsidRPr="008D1B30">
        <w:rPr>
          <w:rFonts w:asciiTheme="minorHAnsi" w:hAnsiTheme="minorHAnsi"/>
          <w:sz w:val="22"/>
          <w:szCs w:val="22"/>
        </w:rPr>
        <w:t xml:space="preserve"> and </w:t>
      </w:r>
      <w:r w:rsidRPr="008D1B30">
        <w:rPr>
          <w:rFonts w:asciiTheme="minorHAnsi" w:hAnsiTheme="minorHAnsi"/>
          <w:b/>
          <w:bCs/>
          <w:sz w:val="22"/>
          <w:szCs w:val="22"/>
        </w:rPr>
        <w:t xml:space="preserve">Rolf </w:t>
      </w:r>
      <w:r w:rsidRPr="008D1B30">
        <w:rPr>
          <w:rFonts w:asciiTheme="minorHAnsi" w:hAnsiTheme="minorHAnsi"/>
          <w:b/>
          <w:bCs/>
          <w:sz w:val="22"/>
          <w:szCs w:val="22"/>
        </w:rPr>
        <w:lastRenderedPageBreak/>
        <w:t>Kjærgaard</w:t>
      </w:r>
      <w:r>
        <w:rPr>
          <w:rFonts w:asciiTheme="minorHAnsi" w:hAnsiTheme="minorHAnsi"/>
          <w:b/>
          <w:bCs/>
          <w:sz w:val="22"/>
          <w:szCs w:val="22"/>
        </w:rPr>
        <w:t>,</w:t>
      </w:r>
      <w:r w:rsidRPr="008D1B30">
        <w:rPr>
          <w:rFonts w:asciiTheme="minorHAnsi" w:hAnsiTheme="minorHAnsi"/>
          <w:sz w:val="22"/>
          <w:szCs w:val="22"/>
        </w:rPr>
        <w:t xml:space="preserve"> Novo Nordisk Foundation agreed that Europe’s scale-up gap is closely linked to underutilized institutional capital, particularly when compared to the United States, where pension funds play a far more active role in supporting domestic growth companies.</w:t>
      </w:r>
    </w:p>
    <w:p w14:paraId="7E280F17" w14:textId="776CF401" w:rsidR="008D1B30" w:rsidRPr="008D1B30" w:rsidRDefault="008D1B30" w:rsidP="008D1B30">
      <w:pPr>
        <w:pStyle w:val="NormalWeb"/>
        <w:jc w:val="both"/>
        <w:rPr>
          <w:rFonts w:asciiTheme="minorHAnsi" w:hAnsiTheme="minorHAnsi"/>
          <w:sz w:val="22"/>
          <w:szCs w:val="22"/>
        </w:rPr>
      </w:pPr>
      <w:r w:rsidRPr="008D1B30">
        <w:rPr>
          <w:rFonts w:asciiTheme="minorHAnsi" w:hAnsiTheme="minorHAnsi"/>
          <w:sz w:val="22"/>
          <w:szCs w:val="22"/>
        </w:rPr>
        <w:t xml:space="preserve">Leaders from major exchanges, including </w:t>
      </w:r>
      <w:r w:rsidRPr="008D1B30">
        <w:rPr>
          <w:rFonts w:asciiTheme="minorHAnsi" w:hAnsiTheme="minorHAnsi"/>
          <w:b/>
          <w:bCs/>
          <w:sz w:val="22"/>
          <w:szCs w:val="22"/>
        </w:rPr>
        <w:t xml:space="preserve">Delphine </w:t>
      </w:r>
      <w:proofErr w:type="spellStart"/>
      <w:r w:rsidRPr="008D1B30">
        <w:rPr>
          <w:rFonts w:asciiTheme="minorHAnsi" w:hAnsiTheme="minorHAnsi"/>
          <w:b/>
          <w:bCs/>
          <w:sz w:val="22"/>
          <w:szCs w:val="22"/>
        </w:rPr>
        <w:t>d’Amarzit</w:t>
      </w:r>
      <w:proofErr w:type="spellEnd"/>
      <w:r>
        <w:rPr>
          <w:rFonts w:asciiTheme="minorHAnsi" w:hAnsiTheme="minorHAnsi"/>
          <w:b/>
          <w:bCs/>
          <w:sz w:val="22"/>
          <w:szCs w:val="22"/>
        </w:rPr>
        <w:t xml:space="preserve">, </w:t>
      </w:r>
      <w:r w:rsidRPr="008D1B30">
        <w:rPr>
          <w:rFonts w:asciiTheme="minorHAnsi" w:hAnsiTheme="minorHAnsi"/>
          <w:sz w:val="22"/>
          <w:szCs w:val="22"/>
        </w:rPr>
        <w:t xml:space="preserve">Euronext Paris and </w:t>
      </w:r>
      <w:r w:rsidRPr="008D1B30">
        <w:rPr>
          <w:rFonts w:asciiTheme="minorHAnsi" w:hAnsiTheme="minorHAnsi"/>
          <w:b/>
          <w:bCs/>
          <w:sz w:val="22"/>
          <w:szCs w:val="22"/>
        </w:rPr>
        <w:t>Adam Kostyál</w:t>
      </w:r>
      <w:r>
        <w:rPr>
          <w:rFonts w:asciiTheme="minorHAnsi" w:hAnsiTheme="minorHAnsi"/>
          <w:b/>
          <w:bCs/>
          <w:sz w:val="22"/>
          <w:szCs w:val="22"/>
        </w:rPr>
        <w:t>,</w:t>
      </w:r>
      <w:r w:rsidRPr="008D1B30">
        <w:rPr>
          <w:rFonts w:asciiTheme="minorHAnsi" w:hAnsiTheme="minorHAnsi"/>
          <w:sz w:val="22"/>
          <w:szCs w:val="22"/>
        </w:rPr>
        <w:t xml:space="preserve"> Nasdaq Stockholm, noted that most European companies continue to list locally. At the same time, </w:t>
      </w:r>
      <w:r w:rsidRPr="008D1B30">
        <w:rPr>
          <w:rFonts w:asciiTheme="minorHAnsi" w:hAnsiTheme="minorHAnsi"/>
          <w:b/>
          <w:bCs/>
          <w:sz w:val="22"/>
          <w:szCs w:val="22"/>
        </w:rPr>
        <w:t>Ivana Gažić</w:t>
      </w:r>
      <w:r>
        <w:rPr>
          <w:rFonts w:asciiTheme="minorHAnsi" w:hAnsiTheme="minorHAnsi"/>
          <w:b/>
          <w:bCs/>
          <w:sz w:val="22"/>
          <w:szCs w:val="22"/>
        </w:rPr>
        <w:t xml:space="preserve">, </w:t>
      </w:r>
      <w:r w:rsidRPr="008D1B30">
        <w:rPr>
          <w:rFonts w:asciiTheme="minorHAnsi" w:hAnsiTheme="minorHAnsi"/>
          <w:sz w:val="22"/>
          <w:szCs w:val="22"/>
        </w:rPr>
        <w:t xml:space="preserve">Zagreb Stock Exchange and </w:t>
      </w:r>
      <w:r w:rsidRPr="008D1B30">
        <w:rPr>
          <w:rFonts w:asciiTheme="minorHAnsi" w:hAnsiTheme="minorHAnsi"/>
          <w:b/>
          <w:bCs/>
          <w:sz w:val="22"/>
          <w:szCs w:val="22"/>
        </w:rPr>
        <w:t>Miljan Ždrale</w:t>
      </w:r>
      <w:r>
        <w:rPr>
          <w:rFonts w:asciiTheme="minorHAnsi" w:hAnsiTheme="minorHAnsi"/>
          <w:b/>
          <w:bCs/>
          <w:sz w:val="22"/>
          <w:szCs w:val="22"/>
        </w:rPr>
        <w:t>,</w:t>
      </w:r>
      <w:r w:rsidRPr="008D1B30">
        <w:rPr>
          <w:rFonts w:asciiTheme="minorHAnsi" w:hAnsiTheme="minorHAnsi"/>
          <w:sz w:val="22"/>
          <w:szCs w:val="22"/>
        </w:rPr>
        <w:t xml:space="preserve"> EBRD pointed to a persistent “exit gap” in Central and Eastern Europe, where companies are more often sold than scaled through IPOs</w:t>
      </w:r>
      <w:r>
        <w:rPr>
          <w:rFonts w:asciiTheme="minorHAnsi" w:hAnsiTheme="minorHAnsi"/>
          <w:sz w:val="22"/>
          <w:szCs w:val="22"/>
        </w:rPr>
        <w:t xml:space="preserve"> -</w:t>
      </w:r>
      <w:r w:rsidRPr="008D1B30">
        <w:rPr>
          <w:rFonts w:asciiTheme="minorHAnsi" w:hAnsiTheme="minorHAnsi"/>
          <w:sz w:val="22"/>
          <w:szCs w:val="22"/>
        </w:rPr>
        <w:t>despite the significantly higher value creation potential of public listings.</w:t>
      </w:r>
    </w:p>
    <w:p w14:paraId="61D7D2C0" w14:textId="7275CC65" w:rsidR="008D1B30" w:rsidRPr="008D1B30" w:rsidRDefault="008D1B30" w:rsidP="008D1B30">
      <w:pPr>
        <w:pStyle w:val="NormalWeb"/>
        <w:jc w:val="both"/>
        <w:rPr>
          <w:rFonts w:asciiTheme="minorHAnsi" w:hAnsiTheme="minorHAnsi"/>
          <w:sz w:val="22"/>
          <w:szCs w:val="22"/>
        </w:rPr>
      </w:pPr>
      <w:r w:rsidRPr="008D1B30">
        <w:rPr>
          <w:rFonts w:asciiTheme="minorHAnsi" w:hAnsiTheme="minorHAnsi"/>
          <w:sz w:val="22"/>
          <w:szCs w:val="22"/>
        </w:rPr>
        <w:t xml:space="preserve">From an investor perspective, </w:t>
      </w:r>
      <w:r w:rsidRPr="008D1B30">
        <w:rPr>
          <w:rFonts w:asciiTheme="minorHAnsi" w:hAnsiTheme="minorHAnsi"/>
          <w:b/>
          <w:bCs/>
          <w:sz w:val="22"/>
          <w:szCs w:val="22"/>
        </w:rPr>
        <w:t>Robert Knorr</w:t>
      </w:r>
      <w:r>
        <w:rPr>
          <w:rFonts w:asciiTheme="minorHAnsi" w:hAnsiTheme="minorHAnsi"/>
          <w:sz w:val="22"/>
          <w:szCs w:val="22"/>
        </w:rPr>
        <w:t xml:space="preserve">, </w:t>
      </w:r>
      <w:proofErr w:type="spellStart"/>
      <w:r w:rsidRPr="008D1B30">
        <w:rPr>
          <w:rFonts w:asciiTheme="minorHAnsi" w:hAnsiTheme="minorHAnsi"/>
          <w:sz w:val="22"/>
          <w:szCs w:val="22"/>
        </w:rPr>
        <w:t>MidEuropa</w:t>
      </w:r>
      <w:proofErr w:type="spellEnd"/>
      <w:r>
        <w:rPr>
          <w:rFonts w:asciiTheme="minorHAnsi" w:hAnsiTheme="minorHAnsi"/>
          <w:sz w:val="22"/>
          <w:szCs w:val="22"/>
        </w:rPr>
        <w:t>,</w:t>
      </w:r>
      <w:r w:rsidRPr="008D1B30">
        <w:rPr>
          <w:rFonts w:asciiTheme="minorHAnsi" w:hAnsiTheme="minorHAnsi"/>
          <w:sz w:val="22"/>
          <w:szCs w:val="22"/>
        </w:rPr>
        <w:t xml:space="preserve"> described scaling as a complex and capital-intensive process that requires long-term commitment. </w:t>
      </w:r>
      <w:r w:rsidRPr="008D1B30">
        <w:rPr>
          <w:rFonts w:asciiTheme="minorHAnsi" w:hAnsiTheme="minorHAnsi"/>
          <w:b/>
          <w:bCs/>
          <w:sz w:val="22"/>
          <w:szCs w:val="22"/>
        </w:rPr>
        <w:t>Gordan Kolak</w:t>
      </w:r>
      <w:r w:rsidRPr="008D1B30">
        <w:rPr>
          <w:rFonts w:asciiTheme="minorHAnsi" w:hAnsiTheme="minorHAnsi"/>
          <w:sz w:val="22"/>
          <w:szCs w:val="22"/>
        </w:rPr>
        <w:t>, CEO of Končar Group, emphasized market fragmentation as a major constraint, noting that expansion beyond Europe can sometimes be easier than scaling within it.</w:t>
      </w:r>
    </w:p>
    <w:p w14:paraId="2FBCF115" w14:textId="0EC5A57B" w:rsidR="008D1B30" w:rsidRPr="008D1B30" w:rsidRDefault="008D1B30" w:rsidP="008D1B30">
      <w:pPr>
        <w:pStyle w:val="NormalWeb"/>
        <w:jc w:val="both"/>
        <w:rPr>
          <w:rFonts w:asciiTheme="minorHAnsi" w:hAnsiTheme="minorHAnsi"/>
          <w:sz w:val="22"/>
          <w:szCs w:val="22"/>
        </w:rPr>
      </w:pPr>
      <w:r w:rsidRPr="008D1B30">
        <w:rPr>
          <w:rFonts w:asciiTheme="minorHAnsi" w:hAnsiTheme="minorHAnsi"/>
          <w:sz w:val="22"/>
          <w:szCs w:val="22"/>
        </w:rPr>
        <w:t xml:space="preserve">Discussions on talent and mindset reinforced similar themes. </w:t>
      </w:r>
      <w:r w:rsidRPr="008D1B30">
        <w:rPr>
          <w:rFonts w:asciiTheme="minorHAnsi" w:hAnsiTheme="minorHAnsi"/>
          <w:b/>
          <w:bCs/>
          <w:sz w:val="22"/>
          <w:szCs w:val="22"/>
        </w:rPr>
        <w:t>Marco Janezic</w:t>
      </w:r>
      <w:r>
        <w:rPr>
          <w:rFonts w:asciiTheme="minorHAnsi" w:hAnsiTheme="minorHAnsi"/>
          <w:sz w:val="22"/>
          <w:szCs w:val="22"/>
        </w:rPr>
        <w:t>,</w:t>
      </w:r>
      <w:r w:rsidRPr="008D1B30">
        <w:rPr>
          <w:rFonts w:asciiTheme="minorHAnsi" w:hAnsiTheme="minorHAnsi"/>
          <w:sz w:val="22"/>
          <w:szCs w:val="22"/>
        </w:rPr>
        <w:t xml:space="preserve"> </w:t>
      </w:r>
      <w:proofErr w:type="spellStart"/>
      <w:r w:rsidRPr="008D1B30">
        <w:rPr>
          <w:rFonts w:asciiTheme="minorHAnsi" w:hAnsiTheme="minorHAnsi"/>
          <w:sz w:val="22"/>
          <w:szCs w:val="22"/>
        </w:rPr>
        <w:t>BlueRibbon</w:t>
      </w:r>
      <w:proofErr w:type="spellEnd"/>
      <w:r w:rsidRPr="008D1B30">
        <w:rPr>
          <w:rFonts w:asciiTheme="minorHAnsi" w:hAnsiTheme="minorHAnsi"/>
          <w:sz w:val="22"/>
          <w:szCs w:val="22"/>
        </w:rPr>
        <w:t xml:space="preserve"> highlighted access to capital and talent as critical constraints, while </w:t>
      </w:r>
      <w:r w:rsidRPr="008D1B30">
        <w:rPr>
          <w:rFonts w:asciiTheme="minorHAnsi" w:hAnsiTheme="minorHAnsi"/>
          <w:b/>
          <w:bCs/>
          <w:sz w:val="22"/>
          <w:szCs w:val="22"/>
        </w:rPr>
        <w:t>Tamara Zajec Balažič</w:t>
      </w:r>
      <w:r>
        <w:rPr>
          <w:rFonts w:asciiTheme="minorHAnsi" w:hAnsiTheme="minorHAnsi"/>
          <w:sz w:val="22"/>
          <w:szCs w:val="22"/>
        </w:rPr>
        <w:t xml:space="preserve">, </w:t>
      </w:r>
      <w:r w:rsidRPr="008D1B30">
        <w:rPr>
          <w:rFonts w:asciiTheme="minorHAnsi" w:hAnsiTheme="minorHAnsi"/>
          <w:sz w:val="22"/>
          <w:szCs w:val="22"/>
        </w:rPr>
        <w:t>SPIRIT Slovenia</w:t>
      </w:r>
      <w:r>
        <w:rPr>
          <w:rFonts w:asciiTheme="minorHAnsi" w:hAnsiTheme="minorHAnsi"/>
          <w:sz w:val="22"/>
          <w:szCs w:val="22"/>
        </w:rPr>
        <w:t>,</w:t>
      </w:r>
      <w:r w:rsidRPr="008D1B30">
        <w:rPr>
          <w:rFonts w:asciiTheme="minorHAnsi" w:hAnsiTheme="minorHAnsi"/>
          <w:sz w:val="22"/>
          <w:szCs w:val="22"/>
        </w:rPr>
        <w:t xml:space="preserve"> called for a stronger “winning mindset.” </w:t>
      </w:r>
      <w:r w:rsidRPr="008D1B30">
        <w:rPr>
          <w:rFonts w:asciiTheme="minorHAnsi" w:hAnsiTheme="minorHAnsi"/>
          <w:b/>
          <w:bCs/>
          <w:sz w:val="22"/>
          <w:szCs w:val="22"/>
        </w:rPr>
        <w:t>Mark Pleško</w:t>
      </w:r>
      <w:r>
        <w:rPr>
          <w:rFonts w:asciiTheme="minorHAnsi" w:hAnsiTheme="minorHAnsi"/>
          <w:sz w:val="22"/>
          <w:szCs w:val="22"/>
        </w:rPr>
        <w:t>,</w:t>
      </w:r>
      <w:r w:rsidRPr="008D1B30">
        <w:rPr>
          <w:rFonts w:asciiTheme="minorHAnsi" w:hAnsiTheme="minorHAnsi"/>
          <w:sz w:val="22"/>
          <w:szCs w:val="22"/>
        </w:rPr>
        <w:t xml:space="preserve"> </w:t>
      </w:r>
      <w:proofErr w:type="spellStart"/>
      <w:r w:rsidRPr="008D1B30">
        <w:rPr>
          <w:rFonts w:asciiTheme="minorHAnsi" w:hAnsiTheme="minorHAnsi"/>
          <w:sz w:val="22"/>
          <w:szCs w:val="22"/>
        </w:rPr>
        <w:t>Cosylab</w:t>
      </w:r>
      <w:proofErr w:type="spellEnd"/>
      <w:r>
        <w:rPr>
          <w:rFonts w:asciiTheme="minorHAnsi" w:hAnsiTheme="minorHAnsi"/>
          <w:sz w:val="22"/>
          <w:szCs w:val="22"/>
        </w:rPr>
        <w:t>,</w:t>
      </w:r>
      <w:r w:rsidRPr="008D1B30">
        <w:rPr>
          <w:rFonts w:asciiTheme="minorHAnsi" w:hAnsiTheme="minorHAnsi"/>
          <w:sz w:val="22"/>
          <w:szCs w:val="22"/>
        </w:rPr>
        <w:t xml:space="preserve"> demonstrated that global capital can be accessed while maintaining European roots, stressing that ambition and execution ultimately determine success.</w:t>
      </w:r>
    </w:p>
    <w:p w14:paraId="7E798A97" w14:textId="7BB0AAAA" w:rsidR="008D1B30" w:rsidRPr="008D1B30" w:rsidRDefault="008D1B30" w:rsidP="008D1B30">
      <w:pPr>
        <w:pStyle w:val="NormalWeb"/>
        <w:jc w:val="both"/>
        <w:rPr>
          <w:rFonts w:asciiTheme="minorHAnsi" w:hAnsiTheme="minorHAnsi"/>
          <w:sz w:val="22"/>
          <w:szCs w:val="22"/>
        </w:rPr>
      </w:pPr>
      <w:r w:rsidRPr="008D1B30">
        <w:rPr>
          <w:rFonts w:asciiTheme="minorHAnsi" w:hAnsiTheme="minorHAnsi"/>
          <w:b/>
          <w:bCs/>
          <w:sz w:val="22"/>
          <w:szCs w:val="22"/>
        </w:rPr>
        <w:t>Carin Knoop</w:t>
      </w:r>
      <w:r>
        <w:rPr>
          <w:rFonts w:asciiTheme="minorHAnsi" w:hAnsiTheme="minorHAnsi"/>
          <w:sz w:val="22"/>
          <w:szCs w:val="22"/>
        </w:rPr>
        <w:t xml:space="preserve">, </w:t>
      </w:r>
      <w:r w:rsidRPr="008D1B30">
        <w:rPr>
          <w:rFonts w:asciiTheme="minorHAnsi" w:hAnsiTheme="minorHAnsi"/>
          <w:sz w:val="22"/>
          <w:szCs w:val="22"/>
        </w:rPr>
        <w:t>Harvard Business School</w:t>
      </w:r>
      <w:r>
        <w:rPr>
          <w:rFonts w:asciiTheme="minorHAnsi" w:hAnsiTheme="minorHAnsi"/>
          <w:sz w:val="22"/>
          <w:szCs w:val="22"/>
        </w:rPr>
        <w:t>,</w:t>
      </w:r>
      <w:r w:rsidRPr="008D1B30">
        <w:rPr>
          <w:rFonts w:asciiTheme="minorHAnsi" w:hAnsiTheme="minorHAnsi"/>
          <w:sz w:val="22"/>
          <w:szCs w:val="22"/>
        </w:rPr>
        <w:t xml:space="preserve"> pointed to structural differences with the United States, including stronger networks and a greater acceptance of risk. Economist </w:t>
      </w:r>
      <w:r w:rsidRPr="008D1B30">
        <w:rPr>
          <w:rFonts w:asciiTheme="minorHAnsi" w:hAnsiTheme="minorHAnsi"/>
          <w:b/>
          <w:bCs/>
          <w:sz w:val="22"/>
          <w:szCs w:val="22"/>
        </w:rPr>
        <w:t>Guntram B. Wolff</w:t>
      </w:r>
      <w:r w:rsidRPr="008D1B30">
        <w:rPr>
          <w:rFonts w:asciiTheme="minorHAnsi" w:hAnsiTheme="minorHAnsi"/>
          <w:sz w:val="22"/>
          <w:szCs w:val="22"/>
        </w:rPr>
        <w:t xml:space="preserve"> emphasized that Europe’s core challenge lies in scaling productivity and sustaining growth.</w:t>
      </w:r>
    </w:p>
    <w:p w14:paraId="17C6CC80" w14:textId="77777777" w:rsidR="008D1B30" w:rsidRPr="008D1B30" w:rsidRDefault="008D1B30" w:rsidP="008D1B30">
      <w:pPr>
        <w:pStyle w:val="NormalWeb"/>
        <w:jc w:val="both"/>
        <w:rPr>
          <w:rFonts w:asciiTheme="minorHAnsi" w:hAnsiTheme="minorHAnsi"/>
          <w:sz w:val="22"/>
          <w:szCs w:val="22"/>
        </w:rPr>
      </w:pPr>
      <w:r w:rsidRPr="008D1B30">
        <w:rPr>
          <w:rFonts w:asciiTheme="minorHAnsi" w:hAnsiTheme="minorHAnsi"/>
          <w:b/>
          <w:bCs/>
          <w:sz w:val="22"/>
          <w:szCs w:val="22"/>
        </w:rPr>
        <w:t>Marta Kos</w:t>
      </w:r>
      <w:r w:rsidRPr="008D1B30">
        <w:rPr>
          <w:rFonts w:asciiTheme="minorHAnsi" w:hAnsiTheme="minorHAnsi"/>
          <w:sz w:val="22"/>
          <w:szCs w:val="22"/>
        </w:rPr>
        <w:t>, European Commissioner for Enlargement, framed EU enlargement as both an economic and geopolitical opportunity, bringing new markets, talent, and investment potential. A concluding panel linked enlargement directly to the scale-up agenda, underlining the importance of stronger public and private capital support within Europe’s SME-driven economy.</w:t>
      </w:r>
    </w:p>
    <w:p w14:paraId="40A017E7" w14:textId="77777777" w:rsidR="008D1B30" w:rsidRPr="008D1B30" w:rsidRDefault="008D1B30" w:rsidP="008D1B30">
      <w:pPr>
        <w:pStyle w:val="NormalWeb"/>
        <w:jc w:val="both"/>
        <w:rPr>
          <w:rFonts w:asciiTheme="minorHAnsi" w:hAnsiTheme="minorHAnsi"/>
          <w:sz w:val="22"/>
          <w:szCs w:val="22"/>
        </w:rPr>
      </w:pPr>
      <w:r w:rsidRPr="008D1B30">
        <w:rPr>
          <w:rFonts w:asciiTheme="minorHAnsi" w:hAnsiTheme="minorHAnsi"/>
          <w:b/>
          <w:bCs/>
          <w:sz w:val="22"/>
          <w:szCs w:val="22"/>
        </w:rPr>
        <w:t xml:space="preserve">Blaž </w:t>
      </w:r>
      <w:proofErr w:type="spellStart"/>
      <w:r w:rsidRPr="008D1B30">
        <w:rPr>
          <w:rFonts w:asciiTheme="minorHAnsi" w:hAnsiTheme="minorHAnsi"/>
          <w:b/>
          <w:bCs/>
          <w:sz w:val="22"/>
          <w:szCs w:val="22"/>
        </w:rPr>
        <w:t>Brodnjak</w:t>
      </w:r>
      <w:proofErr w:type="spellEnd"/>
      <w:r w:rsidRPr="008D1B30">
        <w:rPr>
          <w:rFonts w:asciiTheme="minorHAnsi" w:hAnsiTheme="minorHAnsi"/>
          <w:sz w:val="22"/>
          <w:szCs w:val="22"/>
        </w:rPr>
        <w:t>, CEO of NLB, added a strong regional perspective, emphasizing that Southeast Europe represents both a growth engine and a strategic opportunity for the European Union. He underscored that EU enlargement, if pursued decisively, could unlock even higher growth trajectories while strengthening economic cohesion, stability, and long-term returns across the Union.</w:t>
      </w:r>
    </w:p>
    <w:p w14:paraId="58C1C4BF" w14:textId="77777777" w:rsidR="008D1B30" w:rsidRPr="008D1B30" w:rsidRDefault="008D1B30" w:rsidP="008D1B30">
      <w:pPr>
        <w:pStyle w:val="NormalWeb"/>
        <w:jc w:val="both"/>
        <w:rPr>
          <w:rFonts w:asciiTheme="minorHAnsi" w:hAnsiTheme="minorHAnsi"/>
          <w:sz w:val="22"/>
          <w:szCs w:val="22"/>
        </w:rPr>
      </w:pPr>
      <w:r w:rsidRPr="008D1B30">
        <w:rPr>
          <w:rFonts w:asciiTheme="minorHAnsi" w:hAnsiTheme="minorHAnsi"/>
          <w:sz w:val="22"/>
          <w:szCs w:val="22"/>
        </w:rPr>
        <w:t>Reflecting on the event, Aart de Geus described it as “a truly unique gathering” and “of previously unseen scope” in his 45-year career, highlighting a growing sense of momentum.</w:t>
      </w:r>
    </w:p>
    <w:p w14:paraId="1CA5A656" w14:textId="77777777" w:rsidR="008D1B30" w:rsidRPr="008D1B30" w:rsidRDefault="008D1B30" w:rsidP="008D1B30">
      <w:pPr>
        <w:pStyle w:val="NormalWeb"/>
        <w:jc w:val="both"/>
        <w:rPr>
          <w:rFonts w:asciiTheme="minorHAnsi" w:hAnsiTheme="minorHAnsi"/>
          <w:sz w:val="22"/>
          <w:szCs w:val="22"/>
        </w:rPr>
      </w:pPr>
      <w:r w:rsidRPr="008D1B30">
        <w:rPr>
          <w:rFonts w:asciiTheme="minorHAnsi" w:hAnsiTheme="minorHAnsi"/>
          <w:sz w:val="22"/>
          <w:szCs w:val="22"/>
        </w:rPr>
        <w:t xml:space="preserve">In closing, </w:t>
      </w:r>
      <w:r w:rsidRPr="008A2925">
        <w:rPr>
          <w:rFonts w:asciiTheme="minorHAnsi" w:hAnsiTheme="minorHAnsi"/>
          <w:b/>
          <w:bCs/>
          <w:sz w:val="22"/>
          <w:szCs w:val="22"/>
        </w:rPr>
        <w:t>Stjepan Orešković</w:t>
      </w:r>
      <w:r w:rsidRPr="008D1B30">
        <w:rPr>
          <w:rFonts w:asciiTheme="minorHAnsi" w:hAnsiTheme="minorHAnsi"/>
          <w:sz w:val="22"/>
          <w:szCs w:val="22"/>
        </w:rPr>
        <w:t xml:space="preserve"> returned to the central theme of execution. Europe’s strength lies in its entrepreneurs, scientists, and innovators, but progress will depend on alignment and decisive </w:t>
      </w:r>
      <w:proofErr w:type="gramStart"/>
      <w:r w:rsidRPr="008D1B30">
        <w:rPr>
          <w:rFonts w:asciiTheme="minorHAnsi" w:hAnsiTheme="minorHAnsi"/>
          <w:sz w:val="22"/>
          <w:szCs w:val="22"/>
        </w:rPr>
        <w:t>action, and</w:t>
      </w:r>
      <w:proofErr w:type="gramEnd"/>
      <w:r w:rsidRPr="008D1B30">
        <w:rPr>
          <w:rFonts w:asciiTheme="minorHAnsi" w:hAnsiTheme="minorHAnsi"/>
          <w:sz w:val="22"/>
          <w:szCs w:val="22"/>
        </w:rPr>
        <w:t xml:space="preserve"> not compromise. He announced the next phase of the Future 500 initiative, including the launch of a data-driven index designed to identify high-potential companies and support a coalition of growth-oriented leaders.</w:t>
      </w:r>
    </w:p>
    <w:p w14:paraId="19EAE7A5" w14:textId="3470FEE0" w:rsidR="008D1B30" w:rsidRPr="008D1B30" w:rsidRDefault="008D1B30" w:rsidP="008D1B30">
      <w:pPr>
        <w:pStyle w:val="NormalWeb"/>
        <w:jc w:val="both"/>
        <w:rPr>
          <w:rFonts w:asciiTheme="minorHAnsi" w:hAnsiTheme="minorHAnsi"/>
          <w:sz w:val="22"/>
          <w:szCs w:val="22"/>
        </w:rPr>
      </w:pPr>
      <w:r w:rsidRPr="008D1B30">
        <w:rPr>
          <w:rFonts w:asciiTheme="minorHAnsi" w:hAnsiTheme="minorHAnsi"/>
          <w:sz w:val="22"/>
          <w:szCs w:val="22"/>
        </w:rPr>
        <w:t>The conference concluded with a clear message: Europe has the foundations</w:t>
      </w:r>
      <w:r w:rsidR="008A2925">
        <w:rPr>
          <w:rFonts w:asciiTheme="minorHAnsi" w:hAnsiTheme="minorHAnsi"/>
          <w:sz w:val="22"/>
          <w:szCs w:val="22"/>
        </w:rPr>
        <w:t xml:space="preserve"> - </w:t>
      </w:r>
      <w:r w:rsidRPr="008D1B30">
        <w:rPr>
          <w:rFonts w:asciiTheme="minorHAnsi" w:hAnsiTheme="minorHAnsi"/>
          <w:sz w:val="22"/>
          <w:szCs w:val="22"/>
        </w:rPr>
        <w:t>now it must act with greater focus, coordination, and ambition.</w:t>
      </w:r>
    </w:p>
    <w:p w14:paraId="63C55378" w14:textId="77777777" w:rsidR="008D1B30" w:rsidRPr="008D1B30" w:rsidRDefault="008D1B30" w:rsidP="008D1B30">
      <w:pPr>
        <w:pStyle w:val="NormalWeb"/>
        <w:jc w:val="both"/>
        <w:rPr>
          <w:rFonts w:asciiTheme="minorHAnsi" w:hAnsiTheme="minorHAnsi"/>
          <w:sz w:val="22"/>
          <w:szCs w:val="22"/>
        </w:rPr>
      </w:pPr>
      <w:r w:rsidRPr="008A2925">
        <w:rPr>
          <w:rFonts w:asciiTheme="minorHAnsi" w:hAnsiTheme="minorHAnsi"/>
          <w:b/>
          <w:bCs/>
          <w:sz w:val="22"/>
          <w:szCs w:val="22"/>
        </w:rPr>
        <w:lastRenderedPageBreak/>
        <w:t>Future 500</w:t>
      </w:r>
      <w:r w:rsidRPr="008D1B30">
        <w:rPr>
          <w:rFonts w:asciiTheme="minorHAnsi" w:hAnsiTheme="minorHAnsi"/>
          <w:sz w:val="22"/>
          <w:szCs w:val="22"/>
        </w:rPr>
        <w:t xml:space="preserve"> is a strategic platform developed through the partnership of IEDC – Bled School of Management and the Atlantic Council, dedicated to identifying and supporting European companies with strong global growth potential.</w:t>
      </w:r>
    </w:p>
    <w:p w14:paraId="24201B15" w14:textId="467D05F3" w:rsidR="008D1B30" w:rsidRPr="008D1B30" w:rsidRDefault="008D1B30" w:rsidP="008D1B30">
      <w:pPr>
        <w:rPr>
          <w:rFonts w:cs="Times New Roman"/>
        </w:rPr>
      </w:pPr>
      <w:r w:rsidRPr="008D1B30">
        <w:rPr>
          <w:rFonts w:cs="Times New Roman"/>
          <w:noProof/>
        </w:rPr>
        <mc:AlternateContent>
          <mc:Choice Requires="wps">
            <w:drawing>
              <wp:inline distT="0" distB="0" distL="0" distR="0" wp14:anchorId="5FEF7A72" wp14:editId="7630BAD9">
                <wp:extent cx="5943600" cy="1270"/>
                <wp:effectExtent l="9525" t="6985" r="9525" b="10795"/>
                <wp:docPr id="124127250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1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002F2A1"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" filled="f">
                <o:lock v:ext="edit" rotation="t" aspectratio="t" verticies="t" text="t" shapetype="t"/>
                <w10:anchorlock/>
              </v:rect>
            </w:pict>
          </mc:Fallback>
        </mc:AlternateContent>
      </w:r>
    </w:p>
    <w:p w14:paraId="488FD0D7" w14:textId="068691D8" w:rsidR="008A2925" w:rsidRPr="008A2925" w:rsidRDefault="008A2925" w:rsidP="008D1B30">
      <w:pPr>
        <w:pStyle w:val="NormalWeb"/>
        <w:rPr>
          <w:rStyle w:val="Strong"/>
          <w:rFonts w:asciiTheme="minorHAnsi" w:hAnsiTheme="minorHAnsi"/>
          <w:b w:val="0"/>
          <w:bCs w:val="0"/>
          <w:sz w:val="22"/>
          <w:szCs w:val="22"/>
        </w:rPr>
      </w:pPr>
      <w:r w:rsidRPr="008A2925">
        <w:rPr>
          <w:rStyle w:val="Strong"/>
          <w:rFonts w:asciiTheme="minorHAnsi" w:hAnsiTheme="minorHAnsi"/>
          <w:sz w:val="22"/>
          <w:szCs w:val="22"/>
        </w:rPr>
        <w:t>Photo</w:t>
      </w:r>
      <w:r w:rsidR="007551AE">
        <w:rPr>
          <w:rStyle w:val="Strong"/>
          <w:rFonts w:asciiTheme="minorHAnsi" w:hAnsiTheme="minorHAnsi"/>
          <w:sz w:val="22"/>
          <w:szCs w:val="22"/>
        </w:rPr>
        <w:t>s</w:t>
      </w:r>
      <w:r w:rsidRPr="008A2925">
        <w:rPr>
          <w:rStyle w:val="Strong"/>
          <w:rFonts w:asciiTheme="minorHAnsi" w:hAnsiTheme="minorHAnsi"/>
          <w:sz w:val="22"/>
          <w:szCs w:val="22"/>
        </w:rPr>
        <w:t>:</w:t>
      </w:r>
      <w:r w:rsidRPr="008A2925">
        <w:rPr>
          <w:rStyle w:val="Strong"/>
          <w:rFonts w:asciiTheme="minorHAnsi" w:hAnsiTheme="minorHAnsi"/>
          <w:b w:val="0"/>
          <w:bCs w:val="0"/>
          <w:sz w:val="22"/>
          <w:szCs w:val="22"/>
        </w:rPr>
        <w:t xml:space="preserve"> Courtesy of </w:t>
      </w:r>
      <w:proofErr w:type="spellStart"/>
      <w:r w:rsidRPr="008A2925">
        <w:rPr>
          <w:rStyle w:val="Strong"/>
          <w:rFonts w:asciiTheme="minorHAnsi" w:hAnsiTheme="minorHAnsi"/>
          <w:b w:val="0"/>
          <w:bCs w:val="0"/>
          <w:sz w:val="22"/>
          <w:szCs w:val="22"/>
        </w:rPr>
        <w:t>Bosqar</w:t>
      </w:r>
      <w:proofErr w:type="spellEnd"/>
      <w:r w:rsidRPr="008A2925">
        <w:rPr>
          <w:rStyle w:val="Strong"/>
          <w:rFonts w:asciiTheme="minorHAnsi" w:hAnsiTheme="minorHAnsi"/>
          <w:b w:val="0"/>
          <w:bCs w:val="0"/>
          <w:sz w:val="22"/>
          <w:szCs w:val="22"/>
        </w:rPr>
        <w:t xml:space="preserve"> Invest</w:t>
      </w:r>
      <w:r>
        <w:rPr>
          <w:rStyle w:val="Strong"/>
          <w:rFonts w:asciiTheme="minorHAnsi" w:hAnsiTheme="minorHAnsi"/>
          <w:b w:val="0"/>
          <w:bCs w:val="0"/>
          <w:sz w:val="22"/>
          <w:szCs w:val="22"/>
        </w:rPr>
        <w:t xml:space="preserve">: </w:t>
      </w:r>
      <w:hyperlink r:id="rId11" w:history="1">
        <w:r w:rsidR="007551AE" w:rsidRPr="007551AE">
          <w:rPr>
            <w:rStyle w:val="Hyperlink"/>
            <w:rFonts w:asciiTheme="minorHAnsi" w:hAnsiTheme="minorHAnsi"/>
            <w:sz w:val="22"/>
            <w:szCs w:val="22"/>
          </w:rPr>
          <w:t>Download photos</w:t>
        </w:r>
      </w:hyperlink>
    </w:p>
    <w:p w14:paraId="7EBBAB19" w14:textId="7D83E908" w:rsidR="008D1B30" w:rsidRPr="008D1B30" w:rsidRDefault="008D1B30" w:rsidP="008D1B30">
      <w:pPr>
        <w:pStyle w:val="NormalWeb"/>
        <w:rPr>
          <w:rFonts w:asciiTheme="minorHAnsi" w:hAnsiTheme="minorHAnsi"/>
          <w:sz w:val="22"/>
          <w:szCs w:val="22"/>
        </w:rPr>
      </w:pPr>
      <w:r w:rsidRPr="008D1B30">
        <w:rPr>
          <w:rStyle w:val="Strong"/>
          <w:rFonts w:asciiTheme="minorHAnsi" w:hAnsiTheme="minorHAnsi"/>
          <w:sz w:val="22"/>
          <w:szCs w:val="22"/>
        </w:rPr>
        <w:t>Media Contact:</w:t>
      </w:r>
      <w:r w:rsidRPr="008D1B30">
        <w:rPr>
          <w:rFonts w:asciiTheme="minorHAnsi" w:hAnsiTheme="minorHAnsi"/>
          <w:sz w:val="22"/>
          <w:szCs w:val="22"/>
        </w:rPr>
        <w:br/>
        <w:t>Iva Eibel, Head of Corporate Communications</w:t>
      </w:r>
      <w:r w:rsidRPr="008D1B30">
        <w:rPr>
          <w:rFonts w:asciiTheme="minorHAnsi" w:hAnsiTheme="minorHAnsi"/>
          <w:sz w:val="22"/>
          <w:szCs w:val="22"/>
        </w:rPr>
        <w:br/>
        <w:t>T: +386 4 57 92 524 or +386 40 377 017</w:t>
      </w:r>
      <w:r w:rsidRPr="008D1B30">
        <w:rPr>
          <w:rFonts w:asciiTheme="minorHAnsi" w:hAnsiTheme="minorHAnsi"/>
          <w:sz w:val="22"/>
          <w:szCs w:val="22"/>
        </w:rPr>
        <w:br/>
        <w:t xml:space="preserve">E: </w:t>
      </w:r>
      <w:hyperlink r:id="rId12" w:history="1">
        <w:r w:rsidRPr="00C87034">
          <w:rPr>
            <w:rStyle w:val="Hyperlink"/>
            <w:rFonts w:asciiTheme="minorHAnsi" w:hAnsiTheme="minorHAnsi"/>
            <w:sz w:val="22"/>
            <w:szCs w:val="22"/>
          </w:rPr>
          <w:t>iva.eibel@iedc.si</w:t>
        </w:r>
      </w:hyperlink>
      <w:r>
        <w:rPr>
          <w:rFonts w:asciiTheme="minorHAnsi" w:hAnsiTheme="minorHAnsi"/>
          <w:sz w:val="22"/>
          <w:szCs w:val="22"/>
        </w:rPr>
        <w:t xml:space="preserve"> </w:t>
      </w:r>
    </w:p>
    <w:p w14:paraId="009FE050" w14:textId="77777777" w:rsidR="008D1B30" w:rsidRPr="008D1B30" w:rsidRDefault="008D1B30" w:rsidP="008D1B30">
      <w:pPr>
        <w:spacing w:after="0" w:line="240" w:lineRule="auto"/>
        <w:jc w:val="both"/>
        <w:rPr>
          <w:rFonts w:cs="Times New Roman"/>
          <w:lang w:val="sl-SI"/>
        </w:rPr>
      </w:pPr>
    </w:p>
    <w:sectPr w:rsidR="008D1B30" w:rsidRPr="008D1B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B03"/>
    <w:rsid w:val="00033CD3"/>
    <w:rsid w:val="00072E82"/>
    <w:rsid w:val="00111B3A"/>
    <w:rsid w:val="0013445B"/>
    <w:rsid w:val="00186CCA"/>
    <w:rsid w:val="001B686C"/>
    <w:rsid w:val="0028307D"/>
    <w:rsid w:val="00296226"/>
    <w:rsid w:val="003973E6"/>
    <w:rsid w:val="003E2BAD"/>
    <w:rsid w:val="004D4F45"/>
    <w:rsid w:val="005400E2"/>
    <w:rsid w:val="005864E5"/>
    <w:rsid w:val="00593E08"/>
    <w:rsid w:val="005E5CD4"/>
    <w:rsid w:val="0065612B"/>
    <w:rsid w:val="007551AE"/>
    <w:rsid w:val="007F1C9D"/>
    <w:rsid w:val="00811B73"/>
    <w:rsid w:val="008425D0"/>
    <w:rsid w:val="008A2925"/>
    <w:rsid w:val="008D1B30"/>
    <w:rsid w:val="009B66A7"/>
    <w:rsid w:val="009D1592"/>
    <w:rsid w:val="009F6AAB"/>
    <w:rsid w:val="00A2559F"/>
    <w:rsid w:val="00A74395"/>
    <w:rsid w:val="00AC357F"/>
    <w:rsid w:val="00AE22A8"/>
    <w:rsid w:val="00C15550"/>
    <w:rsid w:val="00C22593"/>
    <w:rsid w:val="00C347A0"/>
    <w:rsid w:val="00C84863"/>
    <w:rsid w:val="00C90349"/>
    <w:rsid w:val="00C96A25"/>
    <w:rsid w:val="00CE7DCC"/>
    <w:rsid w:val="00D90CE0"/>
    <w:rsid w:val="00DC22BC"/>
    <w:rsid w:val="00DF60C6"/>
    <w:rsid w:val="00DF6B03"/>
    <w:rsid w:val="00E42429"/>
    <w:rsid w:val="00EA6F41"/>
    <w:rsid w:val="00ED170F"/>
    <w:rsid w:val="00F70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0D51"/>
  <w15:chartTrackingRefBased/>
  <w15:docId w15:val="{D948DBE5-98C3-4137-AE5A-1FE0997C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B0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F6B0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F6B0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F6B0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DF6B0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F6B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B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B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B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B0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F6B0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F6B0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F6B0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DF6B0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F6B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B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B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B03"/>
    <w:rPr>
      <w:rFonts w:eastAsiaTheme="majorEastAsia" w:cstheme="majorBidi"/>
      <w:color w:val="272727" w:themeColor="text1" w:themeTint="D8"/>
    </w:rPr>
  </w:style>
  <w:style w:type="paragraph" w:styleId="Title">
    <w:name w:val="Title"/>
    <w:basedOn w:val="Normal"/>
    <w:next w:val="Normal"/>
    <w:link w:val="TitleChar"/>
    <w:uiPriority w:val="10"/>
    <w:qFormat/>
    <w:rsid w:val="00DF6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B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B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B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B03"/>
    <w:pPr>
      <w:spacing w:before="160"/>
      <w:jc w:val="center"/>
    </w:pPr>
    <w:rPr>
      <w:i/>
      <w:iCs/>
      <w:color w:val="404040" w:themeColor="text1" w:themeTint="BF"/>
    </w:rPr>
  </w:style>
  <w:style w:type="character" w:customStyle="1" w:styleId="QuoteChar">
    <w:name w:val="Quote Char"/>
    <w:basedOn w:val="DefaultParagraphFont"/>
    <w:link w:val="Quote"/>
    <w:uiPriority w:val="29"/>
    <w:rsid w:val="00DF6B03"/>
    <w:rPr>
      <w:i/>
      <w:iCs/>
      <w:color w:val="404040" w:themeColor="text1" w:themeTint="BF"/>
    </w:rPr>
  </w:style>
  <w:style w:type="paragraph" w:styleId="ListParagraph">
    <w:name w:val="List Paragraph"/>
    <w:basedOn w:val="Normal"/>
    <w:uiPriority w:val="34"/>
    <w:qFormat/>
    <w:rsid w:val="00DF6B03"/>
    <w:pPr>
      <w:ind w:left="720"/>
      <w:contextualSpacing/>
    </w:pPr>
  </w:style>
  <w:style w:type="character" w:styleId="IntenseEmphasis">
    <w:name w:val="Intense Emphasis"/>
    <w:basedOn w:val="DefaultParagraphFont"/>
    <w:uiPriority w:val="21"/>
    <w:qFormat/>
    <w:rsid w:val="00DF6B03"/>
    <w:rPr>
      <w:i/>
      <w:iCs/>
      <w:color w:val="2E74B5" w:themeColor="accent1" w:themeShade="BF"/>
    </w:rPr>
  </w:style>
  <w:style w:type="paragraph" w:styleId="IntenseQuote">
    <w:name w:val="Intense Quote"/>
    <w:basedOn w:val="Normal"/>
    <w:next w:val="Normal"/>
    <w:link w:val="IntenseQuoteChar"/>
    <w:uiPriority w:val="30"/>
    <w:qFormat/>
    <w:rsid w:val="00DF6B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F6B03"/>
    <w:rPr>
      <w:i/>
      <w:iCs/>
      <w:color w:val="2E74B5" w:themeColor="accent1" w:themeShade="BF"/>
    </w:rPr>
  </w:style>
  <w:style w:type="character" w:styleId="IntenseReference">
    <w:name w:val="Intense Reference"/>
    <w:basedOn w:val="DefaultParagraphFont"/>
    <w:uiPriority w:val="32"/>
    <w:qFormat/>
    <w:rsid w:val="00DF6B03"/>
    <w:rPr>
      <w:b/>
      <w:bCs/>
      <w:smallCaps/>
      <w:color w:val="2E74B5" w:themeColor="accent1" w:themeShade="BF"/>
      <w:spacing w:val="5"/>
    </w:rPr>
  </w:style>
  <w:style w:type="character" w:styleId="Hyperlink">
    <w:name w:val="Hyperlink"/>
    <w:basedOn w:val="DefaultParagraphFont"/>
    <w:uiPriority w:val="99"/>
    <w:unhideWhenUsed/>
    <w:rsid w:val="0013445B"/>
    <w:rPr>
      <w:color w:val="0563C1" w:themeColor="hyperlink"/>
      <w:u w:val="single"/>
    </w:rPr>
  </w:style>
  <w:style w:type="character" w:styleId="UnresolvedMention">
    <w:name w:val="Unresolved Mention"/>
    <w:basedOn w:val="DefaultParagraphFont"/>
    <w:uiPriority w:val="99"/>
    <w:semiHidden/>
    <w:unhideWhenUsed/>
    <w:rsid w:val="0013445B"/>
    <w:rPr>
      <w:color w:val="605E5C"/>
      <w:shd w:val="clear" w:color="auto" w:fill="E1DFDD"/>
    </w:rPr>
  </w:style>
  <w:style w:type="paragraph" w:styleId="Revision">
    <w:name w:val="Revision"/>
    <w:hidden/>
    <w:uiPriority w:val="99"/>
    <w:semiHidden/>
    <w:rsid w:val="00811B73"/>
    <w:pPr>
      <w:spacing w:after="0" w:line="240" w:lineRule="auto"/>
    </w:pPr>
  </w:style>
  <w:style w:type="paragraph" w:styleId="NormalWeb">
    <w:name w:val="Normal (Web)"/>
    <w:basedOn w:val="Normal"/>
    <w:uiPriority w:val="99"/>
    <w:semiHidden/>
    <w:unhideWhenUsed/>
    <w:rsid w:val="008D1B3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8D1B30"/>
    <w:rPr>
      <w:b/>
      <w:bCs/>
    </w:rPr>
  </w:style>
  <w:style w:type="character" w:styleId="Emphasis">
    <w:name w:val="Emphasis"/>
    <w:basedOn w:val="DefaultParagraphFont"/>
    <w:uiPriority w:val="20"/>
    <w:qFormat/>
    <w:rsid w:val="008D1B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dc.s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uture500initiative.com/" TargetMode="External"/><Relationship Id="rId12" Type="http://schemas.openxmlformats.org/officeDocument/2006/relationships/hyperlink" Target="mailto:iva.eibel@iedc.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drive.google.com/drive/folders/1FhI3YplmxDxw2Pxqseav5lnWGfjbrGml?usp=sharing" TargetMode="External"/><Relationship Id="rId5" Type="http://schemas.openxmlformats.org/officeDocument/2006/relationships/image" Target="media/image2.png"/><Relationship Id="rId10" Type="http://schemas.openxmlformats.org/officeDocument/2006/relationships/hyperlink" Target="https://www.eesc.europa.eu/en" TargetMode="External"/><Relationship Id="rId4" Type="http://schemas.openxmlformats.org/officeDocument/2006/relationships/image" Target="media/image1.png"/><Relationship Id="rId9" Type="http://schemas.openxmlformats.org/officeDocument/2006/relationships/hyperlink" Target="https://www.atlanticcouncil.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Eibel</dc:creator>
  <cp:keywords/>
  <dc:description/>
  <cp:lastModifiedBy>Iva Eibel</cp:lastModifiedBy>
  <cp:revision>2</cp:revision>
  <dcterms:created xsi:type="dcterms:W3CDTF">2026-03-25T10:47:00Z</dcterms:created>
  <dcterms:modified xsi:type="dcterms:W3CDTF">2026-03-25T10:47:00Z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e6a54fd3-5153-4683-8566-0bd595e1208a</vt:lpwstr>
  </property>
</Properties>
</file>